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850"/>
        <w:gridCol w:w="567"/>
        <w:gridCol w:w="142"/>
        <w:gridCol w:w="1559"/>
        <w:gridCol w:w="142"/>
        <w:gridCol w:w="1843"/>
        <w:gridCol w:w="283"/>
        <w:gridCol w:w="2552"/>
        <w:gridCol w:w="567"/>
        <w:gridCol w:w="709"/>
        <w:gridCol w:w="142"/>
        <w:gridCol w:w="425"/>
        <w:gridCol w:w="142"/>
        <w:gridCol w:w="15"/>
        <w:gridCol w:w="552"/>
        <w:gridCol w:w="142"/>
      </w:tblGrid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Municipio de Tecozautla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417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160000" cy="417142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1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.2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3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de Actividades</w:t>
            </w:r>
          </w:p>
        </w:tc>
        <w:tc>
          <w:tcPr>
            <w:tcW w:w="723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"/>
        </w:trPr>
        <w:tc>
          <w:tcPr>
            <w:tcW w:w="156.75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156.75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968.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708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023</w:t>
            </w:r>
          </w:p>
        </w:tc>
      </w:tr>
      <w:tr>
        <w:trPr>
          <w:trHeight w:hRule="exact" w:val="1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Del 01/ene./2023 al 30/jun./2023</w:t>
            </w:r>
          </w:p>
        </w:tc>
        <w:tc>
          <w:tcPr>
            <w:tcW w:w="1432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7953" w:type="dxa"/>
            <w:gridSpan w:val="9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12:00 p.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m.</w:t>
            </w:r>
          </w:p>
        </w:tc>
      </w:tr>
      <w:tr>
        <w:trPr>
          <w:trHeight w:hRule="exact" w:val="5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rptEstadoActividades</w:t>
            </w:r>
          </w:p>
        </w:tc>
        <w:tc>
          <w:tcPr>
            <w:tcW w:w="7953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hora de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Impresi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ón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.7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Concepto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2023</w:t>
            </w:r>
          </w:p>
        </w:tc>
        <w:tc>
          <w:tcPr>
            <w:tcW w:w="1290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2022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INGRESOS Y OTROS BENEFICIOS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>$83,513,894.62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FFFFFF"/>
                <w:sz w:val="14"/>
                <w:szCs w:val="14"/>
              </w:rPr>
              <w:t>$147,991,182.42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    INGRESOS DE GESTIÓN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$9,828,576.61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$15,215,166.84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IMPUESTOS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$4,252,339.23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$4,622,376.57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DERECHOS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$2,581,117.13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$4,954,893.17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PRODUCTOS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$1,499,831.10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$3,378,142.91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APROVECHAMIENTOS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$1,495,289.15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$2,259,754.19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    PARTICIPACIONES, APORTACIONES, CONVENIOS, INCENTIVOS DERIVADOS DE LA COLABORACIÓN</w:t>
            </w:r>
            <w:br/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FISCAL, FONDOS DISTINTOS DE APORTACIONES, TRANSFERENCIAS, ASIGNACIONES, SUBSIDIOS Y</w:t>
            </w:r>
            <w:br/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SUBVENCIONES, Y PENSIONES Y JUBILACIONES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$73,683,505.71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$132,120,410.18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PARTICIPACIONES, APORTACIONES, CONVENIOS, INCENTIVOS DERIVADOS DE LA COLABORACIÓN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FISCAL Y FONDOS DISTINTOS DE APORTACIONES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$73,683,505.71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$132,120,410.18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    OTROS INGRESOS Y BENEFICIOS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$1,812.30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$655,605.40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INGRESOS FINANCIEROS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$1,812.30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$655,605.40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Total de Ingresos y Otros Beneficios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$83,513,894.62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$147,991,182.42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GASTOS Y OTRAS PÉRDIDAS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$54,739,646.61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$111,489,195.17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    GASTOS DE FUNCIONAMIENTO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$48,064,771.35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$97,055,985.73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SERVICIOS PERSONALES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$21,609,339.75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$45,775,983.85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MATERIALES Y SUMINISTROS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$11,395,283.66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$19,933,554.92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SERVICIOS GENERALES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$15,060,147.94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$31,346,446.96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    TRANSFERENCIAS, ASIGNACIONES, SUBSIDIOS Y OTRAS AYUDAS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$6,674,875.26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$14,433,209.44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  AYUDAS SOCIALES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$6,674,875.26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$14,433,209.44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Total de Gastos y otras Pérdidas</w:t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$54,739,646.61</w:t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$111,489,195.17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290.75" w:type="dxa"/>
            <w:gridSpan w:val="5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8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Resultados del Ejercicio (Ahorro/Desahorro)</w:t>
            </w:r>
          </w:p>
        </w:tc>
        <w:tc>
          <w:tcPr>
            <w:tcW w:w="1290.75" w:type="dxa"/>
            <w:gridSpan w:val="2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$28,774,248.01</w:t>
            </w:r>
          </w:p>
        </w:tc>
        <w:tc>
          <w:tcPr>
            <w:tcW w:w="1290.75" w:type="dxa"/>
            <w:gridSpan w:val="5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$36,501,987.25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“Bajo protesta de decir verdad declaramos que los Estados Financieros y sus notas, son razonablemente correctos y son responsabilidad del emisor”.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LIC. JOEL ELIAS PASO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L.C. KATIA MEJIA MEJIA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PRESIDENTE MUNICIPAL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TESORERO MUNICIPAL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C. MARIA ELOISA TREJO TREJO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SINDICO MUNICIPAL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3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3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Page 1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235EBEA6DE2F0446881E2D935F4E653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Actividades</dc:title>
  <dc:creator>FastReport.NET</dc:creator>
</cp:coreProperties>
</file>